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rPr>
        <w:t>高州垃圾发电</w:t>
      </w:r>
      <w:r>
        <w:rPr>
          <w:rFonts w:ascii="Arial" w:hAnsi="Arial" w:eastAsia="宋体" w:cs="Arial"/>
          <w:color w:val="333333"/>
          <w:kern w:val="0"/>
          <w:sz w:val="36"/>
          <w:szCs w:val="36"/>
        </w:rPr>
        <w:t>项目</w:t>
      </w:r>
      <w:r>
        <w:rPr>
          <w:rFonts w:hint="eastAsia" w:ascii="Arial" w:hAnsi="Arial" w:eastAsia="宋体" w:cs="Arial"/>
          <w:color w:val="333333"/>
          <w:kern w:val="0"/>
          <w:sz w:val="36"/>
          <w:szCs w:val="36"/>
          <w:lang w:eastAsia="zh-CN"/>
        </w:rPr>
        <w:t>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w:t>
      </w:r>
      <w:r>
        <w:rPr>
          <w:rFonts w:hint="eastAsia" w:ascii="Arial" w:hAnsi="Arial" w:eastAsia="宋体" w:cs="Arial"/>
          <w:color w:val="333333"/>
          <w:kern w:val="0"/>
          <w:sz w:val="36"/>
          <w:szCs w:val="36"/>
        </w:rPr>
        <w:t>熟石灰</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r>
        <w:rPr>
          <w:rFonts w:hint="eastAsia" w:ascii="宋体" w:hAnsi="宋体" w:eastAsia="宋体"/>
          <w:sz w:val="30"/>
          <w:szCs w:val="30"/>
          <w:lang w:eastAsia="zh-CN"/>
        </w:rPr>
        <w:t>LK-MMLK-ZB-JC2026-001</w:t>
      </w:r>
      <w:bookmarkEnd w:id="0"/>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朗坤环保能源（茂名）有限公司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91073131"/>
      <w:bookmarkStart w:id="2" w:name="_Toc184635054"/>
      <w:bookmarkStart w:id="3" w:name="_Toc176085606"/>
      <w:bookmarkStart w:id="4" w:name="_Toc456799795"/>
      <w:bookmarkStart w:id="5" w:name="_Toc456799947"/>
      <w:bookmarkStart w:id="6" w:name="_Toc456800136"/>
      <w:bookmarkStart w:id="7" w:name="_Toc456799687"/>
      <w:bookmarkStart w:id="8" w:name="_Toc456800242"/>
      <w:bookmarkStart w:id="9" w:name="_Toc456800085"/>
      <w:bookmarkStart w:id="10" w:name="_Toc456800166"/>
      <w:r>
        <w:rPr>
          <w:rFonts w:hint="eastAsia" w:ascii="宋体" w:hAnsi="宋体" w:eastAsia="宋体" w:cs="Tahoma"/>
          <w:color w:val="000000"/>
          <w:kern w:val="0"/>
          <w:szCs w:val="21"/>
        </w:rPr>
        <w:t>本招标项目高州绿能环保发电项目已由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投资建设完成，朗坤环保能源（茂名）有限公司进行运营管理，企业筹划资金，现对该项目相关运营物资及技术服务进行招采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一、项目名称：朗坤环保能源（茂名）有限公司项目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二、项目地址：广东省茂名高州市金山工业区高州绿能环保发电项目现场。</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LK-ZB-EB-2025018</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5000</w:t>
      </w:r>
      <w:r>
        <w:rPr>
          <w:rFonts w:hint="eastAsia" w:ascii="宋体" w:hAnsi="宋体" w:eastAsia="宋体" w:cs="Tahoma"/>
          <w:color w:val="000000"/>
          <w:kern w:val="0"/>
          <w:szCs w:val="21"/>
        </w:rPr>
        <w:t>吨熟石灰，氢氧化钙含量 ＞90% 、325目过筛率＞95%</w:t>
      </w:r>
      <w:r>
        <w:rPr>
          <w:rFonts w:ascii="宋体" w:hAnsi="宋体" w:eastAsia="宋体" w:cs="Tahoma"/>
          <w:color w:val="000000"/>
          <w:kern w:val="0"/>
          <w:szCs w:val="21"/>
        </w:rPr>
        <w:t xml:space="preserve"> 、</w:t>
      </w:r>
      <w:r>
        <w:rPr>
          <w:rFonts w:hint="eastAsia" w:ascii="宋体" w:hAnsi="宋体" w:eastAsia="宋体" w:cs="Tahoma"/>
          <w:color w:val="000000"/>
          <w:kern w:val="0"/>
          <w:szCs w:val="21"/>
        </w:rPr>
        <w:t>温升≤5℃（200g熟石灰与200ml水混合测试温升）</w:t>
      </w:r>
      <w:r>
        <w:rPr>
          <w:rFonts w:hint="eastAsia"/>
        </w:rPr>
        <w:t>酸不溶物≤</w:t>
      </w:r>
      <w:r>
        <w:t>1</w:t>
      </w:r>
      <w:r>
        <w:rPr>
          <w:rFonts w:hint="eastAsia"/>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rPr>
        <w:t>朗坤环保能源（茂名）有限公司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邮箱：79033180@qq.com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朗坤环保能源（茂名）有限公司熟石灰</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LK-MMLK-ZB-JC2026-001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签订合同后乙方发货，后到货</w:t>
            </w: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0天内结清。</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500</w:t>
            </w:r>
            <w:r>
              <w:rPr>
                <w:rFonts w:ascii="Calibri" w:hAnsi="宋体" w:eastAsia="宋体" w:cs="Calibri"/>
                <w:kern w:val="0"/>
                <w:szCs w:val="24"/>
              </w:rPr>
              <w:t>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1、合格验收：当熟石灰含量达到90%以上且粒度通过率（325目）达到95%，甲方作为合格物料予以验收结算。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2、区间验收折价结算：当熟石灰含量在85%（含）到90%（不含）之间，且熟石灰粒度通过率（325目）在90%（含）到95%（不含）之间，</w:t>
            </w:r>
            <w:r>
              <w:rPr>
                <w:rFonts w:hint="eastAsia" w:ascii="宋体" w:hAnsi="宋体" w:eastAsia="宋体"/>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5A497DD3">
            <w:pPr>
              <w:spacing w:beforeLines="50" w:afterLines="50" w:line="360" w:lineRule="auto"/>
              <w:ind w:firstLine="33" w:firstLineChars="14"/>
              <w:rPr>
                <w:rFonts w:ascii="宋体" w:hAnsi="宋体" w:eastAsia="宋体"/>
              </w:rPr>
            </w:pPr>
            <w:r>
              <w:rPr>
                <w:rFonts w:hint="eastAsia" w:ascii="宋体" w:hAnsi="宋体" w:eastAsia="宋体"/>
              </w:rPr>
              <w:t>89%＜Ca(OH)2＜90% ,该车次熟石灰单价按合同单价下调2%计算。</w:t>
            </w:r>
          </w:p>
          <w:p w14:paraId="7269CADE">
            <w:pPr>
              <w:spacing w:beforeLines="50" w:afterLines="50" w:line="360" w:lineRule="auto"/>
              <w:ind w:firstLine="33" w:firstLineChars="14"/>
              <w:rPr>
                <w:rFonts w:ascii="宋体" w:hAnsi="宋体" w:eastAsia="宋体"/>
              </w:rPr>
            </w:pPr>
            <w:r>
              <w:rPr>
                <w:rFonts w:hint="eastAsia" w:ascii="宋体" w:hAnsi="宋体" w:eastAsia="宋体"/>
              </w:rPr>
              <w:t>88%＜Ca(OH)2＜89% ,该车次熟石灰单价按合同单价下调5%计算。</w:t>
            </w:r>
          </w:p>
          <w:p w14:paraId="4BA7A500">
            <w:pPr>
              <w:spacing w:beforeLines="50" w:afterLines="50" w:line="360" w:lineRule="auto"/>
              <w:ind w:firstLine="33" w:firstLineChars="14"/>
              <w:rPr>
                <w:rFonts w:ascii="宋体" w:hAnsi="宋体" w:eastAsia="宋体"/>
              </w:rPr>
            </w:pPr>
            <w:r>
              <w:rPr>
                <w:rFonts w:hint="eastAsia" w:ascii="宋体" w:hAnsi="宋体" w:eastAsia="宋体"/>
              </w:rPr>
              <w:t>87%＜Ca(OH)2＜88% ,该车次熟石灰单价按合同单价下调10%计算。</w:t>
            </w:r>
          </w:p>
          <w:p w14:paraId="519BE0FB">
            <w:pPr>
              <w:spacing w:beforeLines="50" w:afterLines="50" w:line="360" w:lineRule="auto"/>
              <w:ind w:firstLine="33" w:firstLineChars="14"/>
              <w:rPr>
                <w:rFonts w:ascii="宋体" w:hAnsi="宋体" w:eastAsia="宋体"/>
              </w:rPr>
            </w:pPr>
            <w:r>
              <w:rPr>
                <w:rFonts w:hint="eastAsia" w:ascii="宋体" w:hAnsi="宋体" w:eastAsia="宋体"/>
              </w:rPr>
              <w:t>86%＜Ca(OH)2＜87% ,该车次熟石灰单价按合同单价下调15%计算。</w:t>
            </w:r>
          </w:p>
          <w:p w14:paraId="1B69B3B4">
            <w:pPr>
              <w:spacing w:beforeLines="50" w:afterLines="50" w:line="360" w:lineRule="auto"/>
              <w:ind w:firstLine="33" w:firstLineChars="14"/>
              <w:rPr>
                <w:rFonts w:ascii="宋体" w:hAnsi="宋体" w:eastAsia="宋体"/>
              </w:rPr>
            </w:pPr>
            <w:r>
              <w:rPr>
                <w:rFonts w:hint="eastAsia" w:ascii="宋体" w:hAnsi="宋体" w:eastAsia="宋体"/>
              </w:rPr>
              <w:t>85%＜Ca(OH)2＜86% ,该车次熟石灰单价按合同单价下调20%计算。</w:t>
            </w:r>
          </w:p>
          <w:p w14:paraId="3BBDDC07">
            <w:pPr>
              <w:spacing w:beforeLines="50" w:afterLines="50" w:line="360" w:lineRule="auto"/>
              <w:ind w:firstLine="33" w:firstLineChars="14"/>
              <w:rPr>
                <w:rFonts w:ascii="宋体" w:hAnsi="宋体" w:eastAsia="宋体"/>
              </w:rPr>
            </w:pPr>
            <w:r>
              <w:rPr>
                <w:rFonts w:hint="eastAsia" w:ascii="宋体" w:hAnsi="宋体" w:eastAsia="宋体"/>
              </w:rPr>
              <w:t>94%＜Ca(OH)2 325目通过率＜95%，该车次熟石灰按合同单价下调1%计算</w:t>
            </w:r>
          </w:p>
          <w:p w14:paraId="471C72AB">
            <w:pPr>
              <w:spacing w:beforeLines="50" w:afterLines="50" w:line="360" w:lineRule="auto"/>
              <w:ind w:firstLine="33" w:firstLineChars="14"/>
              <w:rPr>
                <w:rFonts w:ascii="宋体" w:hAnsi="宋体" w:eastAsia="宋体"/>
              </w:rPr>
            </w:pPr>
            <w:r>
              <w:rPr>
                <w:rFonts w:hint="eastAsia" w:ascii="宋体" w:hAnsi="宋体" w:eastAsia="宋体"/>
              </w:rPr>
              <w:t>93%＜Ca(OH)2 325目通过率＜94%，该车次熟石灰按合同单价下调3%计算</w:t>
            </w:r>
          </w:p>
          <w:p w14:paraId="0033BB28">
            <w:pPr>
              <w:spacing w:beforeLines="50" w:afterLines="50" w:line="360" w:lineRule="auto"/>
              <w:ind w:firstLine="33" w:firstLineChars="14"/>
              <w:rPr>
                <w:rFonts w:ascii="宋体" w:hAnsi="宋体" w:eastAsia="宋体"/>
              </w:rPr>
            </w:pPr>
            <w:r>
              <w:rPr>
                <w:rFonts w:hint="eastAsia" w:ascii="宋体" w:hAnsi="宋体" w:eastAsia="宋体"/>
              </w:rPr>
              <w:t>92%＜Ca(OH)2 325目通过率＜93%，该车次熟石灰按合同单价下调5%计算</w:t>
            </w:r>
          </w:p>
          <w:p w14:paraId="6CA82A47">
            <w:pPr>
              <w:spacing w:beforeLines="50" w:afterLines="50" w:line="360" w:lineRule="auto"/>
              <w:ind w:firstLine="33" w:firstLineChars="14"/>
              <w:rPr>
                <w:rFonts w:ascii="宋体" w:hAnsi="宋体" w:eastAsia="宋体"/>
              </w:rPr>
            </w:pPr>
            <w:r>
              <w:rPr>
                <w:rFonts w:hint="eastAsia" w:ascii="宋体" w:hAnsi="宋体" w:eastAsia="宋体"/>
              </w:rPr>
              <w:t>91%＜Ca(OH)2 325目通过率＜92%，该车次熟石灰按合同单价下调7%计算</w:t>
            </w:r>
          </w:p>
          <w:p w14:paraId="12D2405D">
            <w:pPr>
              <w:spacing w:beforeLines="50" w:afterLines="50" w:line="360" w:lineRule="auto"/>
              <w:ind w:firstLine="33" w:firstLineChars="14"/>
              <w:rPr>
                <w:rFonts w:ascii="宋体" w:hAnsi="宋体" w:eastAsia="宋体"/>
              </w:rPr>
            </w:pPr>
            <w:r>
              <w:rPr>
                <w:rFonts w:hint="eastAsia" w:ascii="宋体" w:hAnsi="宋体" w:eastAsia="宋体"/>
              </w:rPr>
              <w:t>90%＜Ca(OH)2 325目通过率＜91%，该车次熟石灰按合同单价下调10%计算</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Ca(OH)₂含量＜85%、细度325目过筛率＜90%，温升＞5℃（200g熟石灰与200ml水混合测试温升）、酸不溶物：指标标准≤1%。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熟石灰</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LK-MMLK-ZB-JC2026-001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800138"/>
      <w:bookmarkStart w:id="15" w:name="_Toc456799689"/>
      <w:bookmarkStart w:id="16" w:name="_Toc456799949"/>
      <w:bookmarkStart w:id="17" w:name="_Toc456800168"/>
      <w:bookmarkStart w:id="18" w:name="_Toc456799797"/>
      <w:bookmarkStart w:id="19" w:name="_Toc456800087"/>
      <w:bookmarkStart w:id="20" w:name="_Toc456800244"/>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4521069"/>
      <w:bookmarkStart w:id="22" w:name="_Toc176085638"/>
    </w:p>
    <w:p w14:paraId="61C01CC6">
      <w:pPr>
        <w:tabs>
          <w:tab w:val="left" w:pos="3906"/>
        </w:tabs>
        <w:spacing w:before="120" w:beforeLines="50" w:after="120" w:afterLines="50"/>
        <w:outlineLvl w:val="1"/>
        <w:rPr>
          <w:rFonts w:ascii="宋体" w:hAnsi="宋体" w:eastAsia="宋体"/>
          <w:szCs w:val="24"/>
        </w:rPr>
      </w:pPr>
      <w:bookmarkStart w:id="23" w:name="_Toc456800139"/>
      <w:bookmarkStart w:id="24" w:name="_Toc456800169"/>
      <w:bookmarkStart w:id="25" w:name="_Toc456800088"/>
      <w:bookmarkStart w:id="26" w:name="_Toc456800245"/>
      <w:bookmarkStart w:id="27" w:name="_Toc91073209"/>
      <w:bookmarkStart w:id="28" w:name="_Toc456799690"/>
      <w:bookmarkStart w:id="29" w:name="_Toc456799950"/>
      <w:bookmarkStart w:id="30" w:name="_Toc456799798"/>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4521070"/>
      <w:bookmarkStart w:id="32" w:name="_Toc176085639"/>
      <w:bookmarkStart w:id="33" w:name="_Toc456800140"/>
      <w:bookmarkStart w:id="34" w:name="_Toc456800246"/>
      <w:bookmarkStart w:id="35" w:name="_Toc456799799"/>
      <w:bookmarkStart w:id="36" w:name="_Toc456800170"/>
      <w:bookmarkStart w:id="37" w:name="_Toc456799691"/>
      <w:bookmarkStart w:id="38" w:name="_Toc456799951"/>
      <w:bookmarkStart w:id="39" w:name="_Toc456800089"/>
      <w:bookmarkStart w:id="40" w:name="_Toc9107321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4521072"/>
      <w:bookmarkStart w:id="42"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6085643"/>
      <w:bookmarkStart w:id="44"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4521075"/>
      <w:bookmarkStart w:id="46"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4521076"/>
      <w:bookmarkStart w:id="48" w:name="_Toc176085645"/>
      <w:bookmarkStart w:id="49" w:name="_Toc456799695"/>
      <w:bookmarkStart w:id="50" w:name="_Toc456799955"/>
      <w:bookmarkStart w:id="51" w:name="_Toc456799803"/>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171"/>
      <w:bookmarkStart w:id="53" w:name="_Toc456800141"/>
      <w:bookmarkStart w:id="54" w:name="_Toc456800090"/>
      <w:bookmarkStart w:id="55" w:name="_Toc456799952"/>
      <w:bookmarkStart w:id="56" w:name="_Toc456799692"/>
      <w:bookmarkStart w:id="57" w:name="_Toc456799800"/>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800091"/>
      <w:bookmarkStart w:id="59" w:name="_Toc456799801"/>
      <w:bookmarkStart w:id="60" w:name="_Toc456799953"/>
      <w:bookmarkStart w:id="61" w:name="_Toc456799693"/>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799694"/>
      <w:bookmarkStart w:id="63" w:name="_Toc456799802"/>
      <w:bookmarkStart w:id="64" w:name="_Toc456800142"/>
      <w:bookmarkStart w:id="65" w:name="_Toc456799954"/>
      <w:bookmarkStart w:id="66" w:name="_Toc456800172"/>
      <w:bookmarkStart w:id="67" w:name="_Toc456800092"/>
      <w:bookmarkStart w:id="68" w:name="_Toc456800247"/>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熟石</w:t>
            </w:r>
            <w:r>
              <w:rPr>
                <w:rFonts w:hint="eastAsia" w:ascii="宋体" w:hAnsi="宋体" w:eastAsia="宋体" w:cs="Times New Roman"/>
                <w:szCs w:val="24"/>
                <w:lang w:eastAsia="zh-CN"/>
              </w:rPr>
              <w:t>灰（Ca(OH)₂含量≥90%、325目过筛率≥95 %、温升≤5℃（200g熟石灰与200ml水混合测试温升）、酸不溶物：指标标准≤1%）</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5000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4521078"/>
      <w:bookmarkStart w:id="70"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1030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417"/>
        <w:gridCol w:w="1913"/>
        <w:gridCol w:w="588"/>
        <w:gridCol w:w="1327"/>
        <w:gridCol w:w="1228"/>
        <w:gridCol w:w="1210"/>
        <w:gridCol w:w="1484"/>
      </w:tblGrid>
      <w:tr w14:paraId="30D3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042661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材料名称</w:t>
            </w:r>
          </w:p>
        </w:tc>
        <w:tc>
          <w:tcPr>
            <w:tcW w:w="3330" w:type="dxa"/>
            <w:gridSpan w:val="2"/>
            <w:vAlign w:val="center"/>
          </w:tcPr>
          <w:p w14:paraId="6E0905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规格型号、技术要求</w:t>
            </w:r>
          </w:p>
        </w:tc>
        <w:tc>
          <w:tcPr>
            <w:tcW w:w="588" w:type="dxa"/>
            <w:vAlign w:val="center"/>
          </w:tcPr>
          <w:p w14:paraId="309268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单位</w:t>
            </w:r>
          </w:p>
        </w:tc>
        <w:tc>
          <w:tcPr>
            <w:tcW w:w="1327" w:type="dxa"/>
            <w:vAlign w:val="center"/>
          </w:tcPr>
          <w:p w14:paraId="163585B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暂定数量</w:t>
            </w:r>
          </w:p>
        </w:tc>
        <w:tc>
          <w:tcPr>
            <w:tcW w:w="1228" w:type="dxa"/>
            <w:vAlign w:val="center"/>
          </w:tcPr>
          <w:p w14:paraId="62682EF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单价（元）</w:t>
            </w:r>
          </w:p>
        </w:tc>
        <w:tc>
          <w:tcPr>
            <w:tcW w:w="1210" w:type="dxa"/>
          </w:tcPr>
          <w:p w14:paraId="2BD731D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总价（元）</w:t>
            </w:r>
          </w:p>
        </w:tc>
        <w:tc>
          <w:tcPr>
            <w:tcW w:w="1484" w:type="dxa"/>
            <w:vAlign w:val="center"/>
          </w:tcPr>
          <w:p w14:paraId="3DB151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备注  </w:t>
            </w:r>
          </w:p>
        </w:tc>
      </w:tr>
      <w:tr w14:paraId="0337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4DA541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熟石灰   </w:t>
            </w:r>
          </w:p>
        </w:tc>
        <w:tc>
          <w:tcPr>
            <w:tcW w:w="1417" w:type="dxa"/>
            <w:vAlign w:val="center"/>
          </w:tcPr>
          <w:p w14:paraId="46B8654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检测项目</w:t>
            </w:r>
          </w:p>
        </w:tc>
        <w:tc>
          <w:tcPr>
            <w:tcW w:w="1913" w:type="dxa"/>
            <w:vAlign w:val="center"/>
          </w:tcPr>
          <w:p w14:paraId="3E0679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指标</w:t>
            </w:r>
          </w:p>
        </w:tc>
        <w:tc>
          <w:tcPr>
            <w:tcW w:w="588" w:type="dxa"/>
            <w:vMerge w:val="restart"/>
            <w:vAlign w:val="center"/>
          </w:tcPr>
          <w:p w14:paraId="3717081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吨</w:t>
            </w:r>
          </w:p>
        </w:tc>
        <w:tc>
          <w:tcPr>
            <w:tcW w:w="1327" w:type="dxa"/>
            <w:vMerge w:val="restart"/>
            <w:vAlign w:val="center"/>
          </w:tcPr>
          <w:p w14:paraId="1F1CEC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lang w:val="en-US" w:eastAsia="zh-CN"/>
              </w:rPr>
              <w:t>50</w:t>
            </w:r>
            <w:r>
              <w:rPr>
                <w:rFonts w:hint="eastAsia" w:cs="Times New Roman" w:asciiTheme="minorHAnsi" w:hAnsiTheme="minorHAnsi" w:eastAsiaTheme="minorEastAsia"/>
                <w:b w:val="0"/>
                <w:bCs w:val="0"/>
                <w:kern w:val="2"/>
                <w:sz w:val="21"/>
                <w:szCs w:val="21"/>
              </w:rPr>
              <w:t>00</w:t>
            </w:r>
          </w:p>
        </w:tc>
        <w:tc>
          <w:tcPr>
            <w:tcW w:w="1228" w:type="dxa"/>
            <w:vMerge w:val="restart"/>
            <w:vAlign w:val="center"/>
          </w:tcPr>
          <w:p w14:paraId="721E9D8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restart"/>
            <w:vAlign w:val="center"/>
          </w:tcPr>
          <w:p w14:paraId="3E1991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restart"/>
            <w:vAlign w:val="center"/>
          </w:tcPr>
          <w:p w14:paraId="71555FBA">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p>
        </w:tc>
      </w:tr>
      <w:tr w14:paraId="5090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B4D271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6F4AF36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Ca(OH)₂含量</w:t>
            </w:r>
          </w:p>
        </w:tc>
        <w:tc>
          <w:tcPr>
            <w:tcW w:w="1913" w:type="dxa"/>
            <w:vAlign w:val="center"/>
          </w:tcPr>
          <w:p w14:paraId="731A485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≥90%</w:t>
            </w:r>
          </w:p>
        </w:tc>
        <w:tc>
          <w:tcPr>
            <w:tcW w:w="588" w:type="dxa"/>
            <w:vMerge w:val="continue"/>
            <w:vAlign w:val="center"/>
          </w:tcPr>
          <w:p w14:paraId="4936CAC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8DDB2C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9310A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95F1FE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E04C7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C8B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59B04B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0017903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325目过筛率</w:t>
            </w:r>
          </w:p>
        </w:tc>
        <w:tc>
          <w:tcPr>
            <w:tcW w:w="1913" w:type="dxa"/>
            <w:vAlign w:val="center"/>
          </w:tcPr>
          <w:p w14:paraId="2DA3FF8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≥95 %</w:t>
            </w:r>
          </w:p>
        </w:tc>
        <w:tc>
          <w:tcPr>
            <w:tcW w:w="588" w:type="dxa"/>
            <w:vMerge w:val="continue"/>
            <w:vAlign w:val="center"/>
          </w:tcPr>
          <w:p w14:paraId="4807C76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24A49C7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5DB2FDF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88EB62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01745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7FA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2348549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2BAC8DD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比表面积</w:t>
            </w:r>
          </w:p>
        </w:tc>
        <w:tc>
          <w:tcPr>
            <w:tcW w:w="1913" w:type="dxa"/>
            <w:vAlign w:val="center"/>
          </w:tcPr>
          <w:p w14:paraId="6EB81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≥18m2/g</w:t>
            </w:r>
          </w:p>
        </w:tc>
        <w:tc>
          <w:tcPr>
            <w:tcW w:w="588" w:type="dxa"/>
            <w:vMerge w:val="continue"/>
            <w:vAlign w:val="center"/>
          </w:tcPr>
          <w:p w14:paraId="4CBA8E1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A0B39D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35537E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E029BA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A26FC7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353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73B6A0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D9A99A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CaCO3</w:t>
            </w:r>
          </w:p>
        </w:tc>
        <w:tc>
          <w:tcPr>
            <w:tcW w:w="1913" w:type="dxa"/>
            <w:vAlign w:val="center"/>
          </w:tcPr>
          <w:p w14:paraId="2B464B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＜5%</w:t>
            </w:r>
          </w:p>
        </w:tc>
        <w:tc>
          <w:tcPr>
            <w:tcW w:w="588" w:type="dxa"/>
            <w:vMerge w:val="continue"/>
            <w:vAlign w:val="center"/>
          </w:tcPr>
          <w:p w14:paraId="2967CA6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5DE257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47DB5C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6E2707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38069B8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9F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C27157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1CF639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CaSO4</w:t>
            </w:r>
          </w:p>
        </w:tc>
        <w:tc>
          <w:tcPr>
            <w:tcW w:w="1913" w:type="dxa"/>
            <w:vAlign w:val="center"/>
          </w:tcPr>
          <w:p w14:paraId="10E197E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＜0.2%</w:t>
            </w:r>
          </w:p>
        </w:tc>
        <w:tc>
          <w:tcPr>
            <w:tcW w:w="588" w:type="dxa"/>
            <w:vMerge w:val="continue"/>
            <w:vAlign w:val="center"/>
          </w:tcPr>
          <w:p w14:paraId="0A81248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4ECA1C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0BD519B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ACCD30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CB808F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0D9B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F37E4F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9B9AFB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SiO2</w:t>
            </w:r>
          </w:p>
        </w:tc>
        <w:tc>
          <w:tcPr>
            <w:tcW w:w="1913" w:type="dxa"/>
            <w:vAlign w:val="center"/>
          </w:tcPr>
          <w:p w14:paraId="411FAC5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78F1312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01740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AD76A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733A09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DC05A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E90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A908D4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A3EDF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Fe2O3</w:t>
            </w:r>
          </w:p>
        </w:tc>
        <w:tc>
          <w:tcPr>
            <w:tcW w:w="1913" w:type="dxa"/>
            <w:vAlign w:val="center"/>
          </w:tcPr>
          <w:p w14:paraId="260F0E3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＜0.5%</w:t>
            </w:r>
          </w:p>
        </w:tc>
        <w:tc>
          <w:tcPr>
            <w:tcW w:w="588" w:type="dxa"/>
            <w:vMerge w:val="continue"/>
            <w:vAlign w:val="center"/>
          </w:tcPr>
          <w:p w14:paraId="26B87E1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0C85634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EFE8AD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05CCF69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07DE84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3E69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35" w:type="dxa"/>
            <w:vMerge w:val="continue"/>
            <w:vAlign w:val="center"/>
          </w:tcPr>
          <w:p w14:paraId="4FF5881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D35123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水分</w:t>
            </w:r>
          </w:p>
        </w:tc>
        <w:tc>
          <w:tcPr>
            <w:tcW w:w="1913" w:type="dxa"/>
            <w:vAlign w:val="center"/>
          </w:tcPr>
          <w:p w14:paraId="436402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C787BB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B223A7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5EEB5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268605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5AFF1C7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79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667F84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283D8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干燥减重</w:t>
            </w:r>
          </w:p>
        </w:tc>
        <w:tc>
          <w:tcPr>
            <w:tcW w:w="1913" w:type="dxa"/>
            <w:vAlign w:val="center"/>
          </w:tcPr>
          <w:p w14:paraId="62C918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3EE32ED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141F30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1D79A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A70094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F3B6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5D02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30CAF9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41DF27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酸不溶物</w:t>
            </w:r>
          </w:p>
        </w:tc>
        <w:tc>
          <w:tcPr>
            <w:tcW w:w="1913" w:type="dxa"/>
            <w:vAlign w:val="center"/>
          </w:tcPr>
          <w:p w14:paraId="3E5DC9A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601F56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D43B1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8B3046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FACF27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4625C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743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A4F61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9167" w:type="dxa"/>
            <w:gridSpan w:val="7"/>
          </w:tcPr>
          <w:p w14:paraId="22BC07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温升≤5℃（200g熟石灰与200ml水混合测试温升）、酸不溶物：指标标准≤1%。</w:t>
            </w:r>
          </w:p>
        </w:tc>
      </w:tr>
    </w:tbl>
    <w:p w14:paraId="067F838F">
      <w:pPr>
        <w:rPr>
          <w:rFonts w:hint="eastAsia"/>
          <w:b w:val="0"/>
          <w:bCs w:val="0"/>
        </w:rPr>
      </w:pPr>
    </w:p>
    <w:p w14:paraId="1F39625D">
      <w:pPr>
        <w:rPr>
          <w:b w:val="0"/>
          <w:bCs w:val="0"/>
        </w:rPr>
      </w:pPr>
    </w:p>
    <w:p w14:paraId="1FEE22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乙方负责槽罐车运输和卸货、开具13%增值税专用发票。暂定数量</w:t>
      </w:r>
      <w:r>
        <w:rPr>
          <w:rFonts w:hint="eastAsia" w:cs="Times New Roman" w:asciiTheme="minorHAnsi" w:hAnsiTheme="minorHAnsi" w:eastAsiaTheme="minorEastAsia"/>
          <w:b w:val="0"/>
          <w:bCs w:val="0"/>
          <w:kern w:val="2"/>
          <w:sz w:val="21"/>
          <w:szCs w:val="21"/>
          <w:lang w:val="en-US" w:eastAsia="zh-CN"/>
        </w:rPr>
        <w:t>50</w:t>
      </w:r>
      <w:r>
        <w:rPr>
          <w:rFonts w:hint="eastAsia" w:cs="Times New Roman" w:asciiTheme="minorHAnsi" w:hAnsiTheme="minorHAnsi" w:eastAsiaTheme="minorEastAsia"/>
          <w:b w:val="0"/>
          <w:bCs w:val="0"/>
          <w:kern w:val="2"/>
          <w:sz w:val="21"/>
          <w:szCs w:val="21"/>
        </w:rPr>
        <w:t>00吨，具体数量以甲方实际运营所需来定，甲方会根据实际运行情况提前两天通知乙方送货并告知所送货的数量。</w:t>
      </w:r>
    </w:p>
    <w:p w14:paraId="00FF015C">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r>
        <w:rPr>
          <w:rFonts w:hint="eastAsia" w:cs="Times New Roman" w:asciiTheme="minorHAnsi" w:hAnsiTheme="minorHAnsi" w:eastAsiaTheme="minorEastAsia"/>
          <w:b w:val="0"/>
          <w:bCs w:val="0"/>
          <w:kern w:val="2"/>
          <w:sz w:val="21"/>
          <w:szCs w:val="21"/>
          <w:lang w:val="en-US" w:eastAsia="zh-CN"/>
        </w:rPr>
        <w:t>报价基于煤炭单价      元/吨      石头      元/吨</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付款方式：每月21号统计上月21-本月20日实际交货的数量（经甲方验收合格），通知乙方开票、实际付款时间为甲方收到乙方发票后</w:t>
      </w:r>
      <w:r>
        <w:rPr>
          <w:rFonts w:hint="eastAsia" w:cs="Times New Roman" w:asciiTheme="minorHAnsi" w:hAnsiTheme="minorHAnsi" w:eastAsiaTheme="minorEastAsia"/>
          <w:b w:val="0"/>
          <w:bCs w:val="0"/>
          <w:kern w:val="2"/>
          <w:sz w:val="21"/>
          <w:szCs w:val="21"/>
          <w:lang w:val="en-US" w:eastAsia="zh-CN"/>
        </w:rPr>
        <w:t>60</w:t>
      </w:r>
      <w:r>
        <w:rPr>
          <w:rFonts w:hint="eastAsia" w:cs="Times New Roman" w:asciiTheme="minorHAnsi" w:hAnsiTheme="minorHAnsi" w:eastAsiaTheme="minorEastAsia"/>
          <w:b w:val="0"/>
          <w:bCs w:val="0"/>
          <w:kern w:val="2"/>
          <w:sz w:val="21"/>
          <w:szCs w:val="21"/>
        </w:rPr>
        <w:t>天左右付款。</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交货地点：广东省茂名高州市金山工业区高州绿能环保发电项目</w:t>
      </w:r>
    </w:p>
    <w:p w14:paraId="3A688F4D">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176085649"/>
      <w:bookmarkStart w:id="72" w:name="_Toc456799956"/>
      <w:bookmarkStart w:id="73" w:name="_Toc456799804"/>
      <w:bookmarkStart w:id="7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6085646"/>
      <w:bookmarkStart w:id="76"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熟石灰技术文件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LK-MMLK-ZB-JC2026-001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44DA15AA">
      <w:pPr>
        <w:tabs>
          <w:tab w:val="left" w:pos="502"/>
          <w:tab w:val="left" w:pos="709"/>
        </w:tabs>
        <w:adjustRightInd w:val="0"/>
        <w:snapToGrid w:val="0"/>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项目地址一：位于广东省茂名市高州市金山工业园朗坤环保能源（茂名）有限公司</w:t>
      </w:r>
      <w:r>
        <w:rPr>
          <w:rFonts w:hint="eastAsia" w:ascii="仿宋" w:hAnsi="仿宋" w:eastAsia="仿宋" w:cs="仿宋"/>
          <w:bCs/>
          <w:sz w:val="28"/>
          <w:szCs w:val="28"/>
        </w:rPr>
        <w:t>。该项目配备两台日处理600吨机械炉排焚烧炉，烟气处理设计为半干法脱硫+SNCR+活性炭+布袋除尘。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氢氧化钙</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000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rPr>
      </w:pPr>
      <w:r>
        <w:rPr>
          <w:rFonts w:hint="eastAsia" w:ascii="仿宋" w:hAnsi="仿宋" w:eastAsia="仿宋" w:cs="仿宋"/>
          <w:b/>
          <w:sz w:val="28"/>
          <w:szCs w:val="28"/>
        </w:rPr>
        <w:t>3.2氢氧化钙</w:t>
      </w:r>
    </w:p>
    <w:p w14:paraId="1F7EB684">
      <w:pPr>
        <w:pStyle w:val="80"/>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rPr>
        <w:t>一）氢氧化钙技术指标（表二）</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32B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013F7A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995" w:type="dxa"/>
            <w:noWrap w:val="0"/>
            <w:vAlign w:val="top"/>
          </w:tcPr>
          <w:p w14:paraId="3C80EE7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纯度</w:t>
            </w:r>
          </w:p>
        </w:tc>
        <w:tc>
          <w:tcPr>
            <w:tcW w:w="2295" w:type="dxa"/>
            <w:noWrap w:val="0"/>
            <w:vAlign w:val="top"/>
          </w:tcPr>
          <w:p w14:paraId="58BAAC34">
            <w:pPr>
              <w:tabs>
                <w:tab w:val="left" w:pos="555"/>
                <w:tab w:val="center" w:pos="1039"/>
              </w:tabs>
              <w:spacing w:line="220" w:lineRule="atLeast"/>
              <w:jc w:val="left"/>
              <w:rPr>
                <w:rFonts w:hint="eastAsia" w:ascii="仿宋" w:hAnsi="仿宋" w:eastAsia="仿宋" w:cs="仿宋"/>
                <w:sz w:val="28"/>
                <w:szCs w:val="28"/>
              </w:rPr>
            </w:pPr>
            <w:r>
              <w:rPr>
                <w:rFonts w:ascii="仿宋" w:hAnsi="仿宋" w:eastAsia="仿宋" w:cs="仿宋"/>
                <w:sz w:val="28"/>
                <w:szCs w:val="28"/>
              </w:rPr>
              <w:tab/>
            </w:r>
            <w:r>
              <w:rPr>
                <w:rFonts w:ascii="仿宋" w:hAnsi="仿宋" w:eastAsia="仿宋" w:cs="仿宋"/>
                <w:sz w:val="28"/>
                <w:szCs w:val="28"/>
              </w:rPr>
              <w:tab/>
            </w:r>
            <w:r>
              <w:rPr>
                <w:rFonts w:hint="eastAsia" w:ascii="仿宋" w:hAnsi="仿宋" w:eastAsia="仿宋" w:cs="仿宋"/>
                <w:sz w:val="28"/>
                <w:szCs w:val="28"/>
              </w:rPr>
              <w:t>＞90%</w:t>
            </w:r>
          </w:p>
        </w:tc>
        <w:tc>
          <w:tcPr>
            <w:tcW w:w="2131" w:type="dxa"/>
            <w:noWrap w:val="0"/>
            <w:vAlign w:val="top"/>
          </w:tcPr>
          <w:p w14:paraId="41E4CBB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粉状</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w:t>
            </w:r>
          </w:p>
        </w:tc>
        <w:tc>
          <w:tcPr>
            <w:tcW w:w="2995" w:type="dxa"/>
            <w:noWrap w:val="0"/>
            <w:vAlign w:val="top"/>
          </w:tcPr>
          <w:p w14:paraId="6635944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细度</w:t>
            </w:r>
          </w:p>
        </w:tc>
        <w:tc>
          <w:tcPr>
            <w:tcW w:w="2295" w:type="dxa"/>
            <w:noWrap w:val="0"/>
            <w:vAlign w:val="top"/>
          </w:tcPr>
          <w:p w14:paraId="0BEE3F5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325目</w:t>
            </w:r>
          </w:p>
        </w:tc>
        <w:tc>
          <w:tcPr>
            <w:tcW w:w="2131" w:type="dxa"/>
            <w:noWrap w:val="0"/>
            <w:vAlign w:val="top"/>
          </w:tcPr>
          <w:p w14:paraId="123957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过筛率＞95%</w:t>
            </w: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w:t>
            </w:r>
          </w:p>
        </w:tc>
        <w:tc>
          <w:tcPr>
            <w:tcW w:w="2995" w:type="dxa"/>
            <w:noWrap w:val="0"/>
            <w:vAlign w:val="top"/>
          </w:tcPr>
          <w:p w14:paraId="3A5106F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水分</w:t>
            </w:r>
          </w:p>
        </w:tc>
        <w:tc>
          <w:tcPr>
            <w:tcW w:w="2295" w:type="dxa"/>
            <w:noWrap w:val="0"/>
            <w:vAlign w:val="top"/>
          </w:tcPr>
          <w:p w14:paraId="777E475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1F1490F3">
            <w:pPr>
              <w:spacing w:line="220" w:lineRule="atLeast"/>
              <w:rPr>
                <w:rFonts w:hint="eastAsia" w:ascii="仿宋" w:hAnsi="仿宋" w:eastAsia="仿宋" w:cs="仿宋"/>
                <w:sz w:val="28"/>
                <w:szCs w:val="28"/>
              </w:rPr>
            </w:pPr>
            <w:bookmarkStart w:id="83" w:name="_GoBack"/>
            <w:bookmarkEnd w:id="83"/>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4</w:t>
            </w:r>
          </w:p>
        </w:tc>
        <w:tc>
          <w:tcPr>
            <w:tcW w:w="2995" w:type="dxa"/>
            <w:noWrap w:val="0"/>
            <w:vAlign w:val="top"/>
          </w:tcPr>
          <w:p w14:paraId="61562DC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CaCO3</w:t>
            </w:r>
          </w:p>
        </w:tc>
        <w:tc>
          <w:tcPr>
            <w:tcW w:w="2295" w:type="dxa"/>
            <w:noWrap w:val="0"/>
            <w:vAlign w:val="top"/>
          </w:tcPr>
          <w:p w14:paraId="74AC5AF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rPr>
              <w:t>%</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p>
        </w:tc>
        <w:tc>
          <w:tcPr>
            <w:tcW w:w="2995" w:type="dxa"/>
            <w:noWrap w:val="0"/>
            <w:vAlign w:val="top"/>
          </w:tcPr>
          <w:p w14:paraId="5E51B6E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CaSO</w:t>
            </w:r>
            <w:r>
              <w:rPr>
                <w:rFonts w:hint="eastAsia" w:ascii="仿宋" w:hAnsi="仿宋" w:eastAsia="仿宋" w:cs="仿宋"/>
                <w:sz w:val="28"/>
                <w:szCs w:val="28"/>
                <w:vertAlign w:val="subscript"/>
              </w:rPr>
              <w:t>4</w:t>
            </w:r>
          </w:p>
        </w:tc>
        <w:tc>
          <w:tcPr>
            <w:tcW w:w="2295" w:type="dxa"/>
            <w:noWrap w:val="0"/>
            <w:vAlign w:val="top"/>
          </w:tcPr>
          <w:p w14:paraId="0971E68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＜0.2%</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6</w:t>
            </w:r>
          </w:p>
        </w:tc>
        <w:tc>
          <w:tcPr>
            <w:tcW w:w="2995" w:type="dxa"/>
            <w:noWrap w:val="0"/>
            <w:vAlign w:val="top"/>
          </w:tcPr>
          <w:p w14:paraId="7264E4B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SiO</w:t>
            </w:r>
            <w:r>
              <w:rPr>
                <w:rFonts w:hint="eastAsia" w:ascii="仿宋" w:hAnsi="仿宋" w:eastAsia="仿宋" w:cs="仿宋"/>
                <w:sz w:val="28"/>
                <w:szCs w:val="28"/>
                <w:vertAlign w:val="subscript"/>
              </w:rPr>
              <w:t>2</w:t>
            </w:r>
          </w:p>
        </w:tc>
        <w:tc>
          <w:tcPr>
            <w:tcW w:w="2295" w:type="dxa"/>
            <w:noWrap w:val="0"/>
            <w:vAlign w:val="top"/>
          </w:tcPr>
          <w:p w14:paraId="3FF6365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7</w:t>
            </w:r>
          </w:p>
        </w:tc>
        <w:tc>
          <w:tcPr>
            <w:tcW w:w="2995" w:type="dxa"/>
            <w:noWrap w:val="0"/>
            <w:vAlign w:val="top"/>
          </w:tcPr>
          <w:p w14:paraId="652F34B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Fe</w:t>
            </w:r>
            <w:r>
              <w:rPr>
                <w:rFonts w:hint="eastAsia" w:ascii="仿宋" w:hAnsi="仿宋" w:eastAsia="仿宋" w:cs="仿宋"/>
                <w:sz w:val="28"/>
                <w:szCs w:val="28"/>
                <w:vertAlign w:val="subscript"/>
              </w:rPr>
              <w:t>2</w:t>
            </w:r>
            <w:r>
              <w:rPr>
                <w:rFonts w:hint="eastAsia" w:ascii="仿宋" w:hAnsi="仿宋" w:eastAsia="仿宋" w:cs="仿宋"/>
                <w:sz w:val="28"/>
                <w:szCs w:val="28"/>
              </w:rPr>
              <w:t>O</w:t>
            </w:r>
            <w:r>
              <w:rPr>
                <w:rFonts w:hint="eastAsia" w:ascii="仿宋" w:hAnsi="仿宋" w:eastAsia="仿宋" w:cs="仿宋"/>
                <w:sz w:val="28"/>
                <w:szCs w:val="28"/>
                <w:vertAlign w:val="subscript"/>
              </w:rPr>
              <w:t>3</w:t>
            </w:r>
          </w:p>
        </w:tc>
        <w:tc>
          <w:tcPr>
            <w:tcW w:w="2295" w:type="dxa"/>
            <w:noWrap w:val="0"/>
            <w:vAlign w:val="top"/>
          </w:tcPr>
          <w:p w14:paraId="0571723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＜0.5%</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8</w:t>
            </w:r>
          </w:p>
        </w:tc>
        <w:tc>
          <w:tcPr>
            <w:tcW w:w="2995" w:type="dxa"/>
            <w:noWrap w:val="0"/>
            <w:vAlign w:val="top"/>
          </w:tcPr>
          <w:p w14:paraId="3FCFE1F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比表面积</w:t>
            </w:r>
          </w:p>
        </w:tc>
        <w:tc>
          <w:tcPr>
            <w:tcW w:w="2295" w:type="dxa"/>
            <w:noWrap w:val="0"/>
            <w:vAlign w:val="top"/>
          </w:tcPr>
          <w:p w14:paraId="166A546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＞18m</w:t>
            </w:r>
            <w:r>
              <w:rPr>
                <w:rFonts w:hint="eastAsia" w:ascii="仿宋" w:hAnsi="仿宋" w:eastAsia="仿宋" w:cs="仿宋"/>
                <w:sz w:val="28"/>
                <w:szCs w:val="28"/>
                <w:vertAlign w:val="superscript"/>
              </w:rPr>
              <w:t>2</w:t>
            </w:r>
            <w:r>
              <w:rPr>
                <w:rFonts w:hint="eastAsia" w:ascii="仿宋" w:hAnsi="仿宋" w:eastAsia="仿宋" w:cs="仿宋"/>
                <w:sz w:val="28"/>
                <w:szCs w:val="28"/>
              </w:rPr>
              <w:t>/g</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9</w:t>
            </w:r>
          </w:p>
        </w:tc>
        <w:tc>
          <w:tcPr>
            <w:tcW w:w="2995" w:type="dxa"/>
            <w:noWrap w:val="0"/>
            <w:vAlign w:val="top"/>
          </w:tcPr>
          <w:p w14:paraId="4A869F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干燥减重</w:t>
            </w:r>
          </w:p>
        </w:tc>
        <w:tc>
          <w:tcPr>
            <w:tcW w:w="2295" w:type="dxa"/>
            <w:noWrap w:val="0"/>
            <w:vAlign w:val="top"/>
          </w:tcPr>
          <w:p w14:paraId="1C0DFC2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23378003">
            <w:pPr>
              <w:spacing w:line="220" w:lineRule="atLeast"/>
              <w:rPr>
                <w:rFonts w:hint="eastAsia" w:ascii="仿宋" w:hAnsi="仿宋" w:eastAsia="仿宋" w:cs="仿宋"/>
                <w:sz w:val="28"/>
                <w:szCs w:val="28"/>
              </w:rPr>
            </w:pPr>
          </w:p>
        </w:tc>
      </w:tr>
      <w:tr w14:paraId="4AA7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E2DDF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10</w:t>
            </w:r>
          </w:p>
        </w:tc>
        <w:tc>
          <w:tcPr>
            <w:tcW w:w="2995" w:type="dxa"/>
            <w:noWrap w:val="0"/>
            <w:vAlign w:val="top"/>
          </w:tcPr>
          <w:p w14:paraId="6810E6E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酸不溶物</w:t>
            </w:r>
          </w:p>
        </w:tc>
        <w:tc>
          <w:tcPr>
            <w:tcW w:w="2295" w:type="dxa"/>
            <w:noWrap w:val="0"/>
            <w:vAlign w:val="top"/>
          </w:tcPr>
          <w:p w14:paraId="497A9729">
            <w:pPr>
              <w:spacing w:line="220" w:lineRule="atLeast"/>
              <w:jc w:val="center"/>
              <w:rPr>
                <w:rFonts w:hint="eastAsia" w:ascii="仿宋" w:hAnsi="仿宋" w:eastAsia="仿宋" w:cs="仿宋"/>
                <w:sz w:val="28"/>
                <w:szCs w:val="28"/>
              </w:rPr>
            </w:pPr>
            <w:r>
              <w:rPr>
                <w:rFonts w:hint="eastAsia"/>
              </w:rPr>
              <w:t>≤</w:t>
            </w:r>
            <w:r>
              <w:t>1</w:t>
            </w:r>
            <w:r>
              <w:rPr>
                <w:rFonts w:hint="eastAsia"/>
              </w:rPr>
              <w:t>%</w:t>
            </w:r>
          </w:p>
        </w:tc>
        <w:tc>
          <w:tcPr>
            <w:tcW w:w="2131" w:type="dxa"/>
            <w:noWrap w:val="0"/>
            <w:vAlign w:val="top"/>
          </w:tcPr>
          <w:p w14:paraId="792BC019">
            <w:pPr>
              <w:spacing w:line="220" w:lineRule="atLeast"/>
              <w:rPr>
                <w:rFonts w:hint="eastAsia" w:ascii="仿宋" w:hAnsi="仿宋" w:eastAsia="仿宋" w:cs="仿宋"/>
                <w:sz w:val="28"/>
                <w:szCs w:val="28"/>
              </w:rPr>
            </w:pPr>
          </w:p>
        </w:tc>
      </w:tr>
      <w:tr w14:paraId="4046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4DA6FE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11</w:t>
            </w:r>
          </w:p>
        </w:tc>
        <w:tc>
          <w:tcPr>
            <w:tcW w:w="2995" w:type="dxa"/>
            <w:noWrap w:val="0"/>
            <w:vAlign w:val="top"/>
          </w:tcPr>
          <w:p w14:paraId="274BEED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200g熟石灰与200ml水混合测试温升</w:t>
            </w:r>
          </w:p>
        </w:tc>
        <w:tc>
          <w:tcPr>
            <w:tcW w:w="2295" w:type="dxa"/>
            <w:noWrap w:val="0"/>
            <w:vAlign w:val="top"/>
          </w:tcPr>
          <w:p w14:paraId="41AF800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温升≤5℃</w:t>
            </w:r>
          </w:p>
        </w:tc>
        <w:tc>
          <w:tcPr>
            <w:tcW w:w="2131" w:type="dxa"/>
            <w:noWrap w:val="0"/>
            <w:vAlign w:val="top"/>
          </w:tcPr>
          <w:p w14:paraId="192EE6DA">
            <w:pPr>
              <w:spacing w:line="220" w:lineRule="atLeast"/>
              <w:rPr>
                <w:rFonts w:hint="eastAsia" w:ascii="仿宋" w:hAnsi="仿宋" w:eastAsia="仿宋" w:cs="仿宋"/>
                <w:sz w:val="28"/>
                <w:szCs w:val="28"/>
              </w:rPr>
            </w:pPr>
          </w:p>
        </w:tc>
      </w:tr>
    </w:tbl>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*必须采用罐车运输，且罐车带气体输送装置，输送装置接头应按甲方现场接头为准，如不匹配的乙方自行更改，每次送    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kern w:val="2"/>
          <w:sz w:val="28"/>
          <w:szCs w:val="28"/>
          <w:lang w:val="en-US" w:eastAsia="zh-CN" w:bidi="ar-SA"/>
        </w:rPr>
        <w:t>朗坤环保能源（茂名）有限公司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91392962"/>
      <w:bookmarkStart w:id="79" w:name="_Toc35342046"/>
      <w:bookmarkStart w:id="80" w:name="_Toc50864444"/>
      <w:bookmarkStart w:id="81"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1、投标方要根据朗坤环保能源（茂名）有限公司设施工艺情况，提供有指导意义的技术方案，指导如何才能合理节约环保材料的消耗，满足我厂环保指标的达标排放。朗坤环保能源（茂名）有</w:t>
      </w:r>
      <w:r>
        <w:rPr>
          <w:rFonts w:hint="eastAsia" w:ascii="仿宋" w:hAnsi="仿宋" w:eastAsia="仿宋" w:cs="仿宋"/>
          <w:sz w:val="28"/>
          <w:szCs w:val="28"/>
        </w:rPr>
        <w:t>限公司烟气净化系统工艺如下：采用半干法+活性炭吸附+布袋除尘器+SNCR，其中活性炭系统自活性炭间至尾部烟道；干粉系统（氢氧化钙粉）自干粉间至尾部烟道；石灰制浆系统（氢氧化钙粉）从石灰浆制备间至脱酸塔；尿素自SNCR间至锅炉高温区；螯合剂与飞灰螯合后装袋。根据烟气处理其它项目参考活性炭单耗约为   吨/天，氢氧化钙单耗为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吨/天，按年运行8000小时（即330天）计算，年需消耗氢氧化钙约为6000吨；。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1BEDAE7E">
      <w:pPr>
        <w:spacing w:line="440" w:lineRule="exact"/>
        <w:rPr>
          <w:rFonts w:hint="eastAsia"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w:t>
      </w:r>
      <w:r>
        <w:rPr>
          <w:rFonts w:hint="eastAsia" w:ascii="仿宋" w:hAnsi="仿宋" w:eastAsia="仿宋" w:cs="仿宋"/>
          <w:b/>
          <w:bCs/>
          <w:kern w:val="44"/>
          <w:sz w:val="28"/>
          <w:szCs w:val="28"/>
          <w:lang w:val="en-US" w:eastAsia="zh-CN"/>
        </w:rPr>
        <w:t>投标方需提供熟石灰第三方检测报告</w:t>
      </w:r>
      <w:r>
        <w:rPr>
          <w:rFonts w:hint="eastAsia" w:ascii="仿宋" w:hAnsi="仿宋" w:eastAsia="仿宋" w:cs="仿宋"/>
          <w:kern w:val="44"/>
          <w:sz w:val="28"/>
          <w:szCs w:val="28"/>
          <w:lang w:val="en-US" w:eastAsia="zh-CN"/>
        </w:rPr>
        <w:t>。</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FB485E"/>
    <w:rsid w:val="04235541"/>
    <w:rsid w:val="04A942BA"/>
    <w:rsid w:val="05575AC4"/>
    <w:rsid w:val="05E43751"/>
    <w:rsid w:val="06467C56"/>
    <w:rsid w:val="068428E9"/>
    <w:rsid w:val="06983898"/>
    <w:rsid w:val="0728596A"/>
    <w:rsid w:val="08C81C73"/>
    <w:rsid w:val="09A84B40"/>
    <w:rsid w:val="09BA4874"/>
    <w:rsid w:val="0A851326"/>
    <w:rsid w:val="0AC21C32"/>
    <w:rsid w:val="0B2C78C3"/>
    <w:rsid w:val="0B892750"/>
    <w:rsid w:val="0C593912"/>
    <w:rsid w:val="0CC04897"/>
    <w:rsid w:val="0DE34399"/>
    <w:rsid w:val="0E5B794D"/>
    <w:rsid w:val="104650B3"/>
    <w:rsid w:val="11851C0B"/>
    <w:rsid w:val="11BB562D"/>
    <w:rsid w:val="12D70244"/>
    <w:rsid w:val="12EA7F78"/>
    <w:rsid w:val="13010F42"/>
    <w:rsid w:val="13086650"/>
    <w:rsid w:val="1543632C"/>
    <w:rsid w:val="158521DA"/>
    <w:rsid w:val="158F4E06"/>
    <w:rsid w:val="16445BF1"/>
    <w:rsid w:val="16710EBD"/>
    <w:rsid w:val="16975AF5"/>
    <w:rsid w:val="16CA721C"/>
    <w:rsid w:val="1706734A"/>
    <w:rsid w:val="1711641B"/>
    <w:rsid w:val="171657DF"/>
    <w:rsid w:val="17323584"/>
    <w:rsid w:val="17CA0378"/>
    <w:rsid w:val="18406A73"/>
    <w:rsid w:val="18C15C1F"/>
    <w:rsid w:val="18FB5F94"/>
    <w:rsid w:val="194523AC"/>
    <w:rsid w:val="19687E48"/>
    <w:rsid w:val="1A8011C2"/>
    <w:rsid w:val="1B067919"/>
    <w:rsid w:val="1BC42663"/>
    <w:rsid w:val="1DCD2970"/>
    <w:rsid w:val="1DD106B2"/>
    <w:rsid w:val="1DFC3255"/>
    <w:rsid w:val="1E05035C"/>
    <w:rsid w:val="1F070103"/>
    <w:rsid w:val="1F1B770B"/>
    <w:rsid w:val="1F971487"/>
    <w:rsid w:val="1FD47FE6"/>
    <w:rsid w:val="21A41C3A"/>
    <w:rsid w:val="21EB1616"/>
    <w:rsid w:val="21FA7AAB"/>
    <w:rsid w:val="22364F87"/>
    <w:rsid w:val="228850B7"/>
    <w:rsid w:val="22A719E1"/>
    <w:rsid w:val="23700025"/>
    <w:rsid w:val="253A4D8F"/>
    <w:rsid w:val="256C2A6E"/>
    <w:rsid w:val="258B52DD"/>
    <w:rsid w:val="26661BB3"/>
    <w:rsid w:val="26D16D39"/>
    <w:rsid w:val="28862099"/>
    <w:rsid w:val="28E374EB"/>
    <w:rsid w:val="294F4B81"/>
    <w:rsid w:val="29826D04"/>
    <w:rsid w:val="29A625D1"/>
    <w:rsid w:val="2A293624"/>
    <w:rsid w:val="2AFB43D6"/>
    <w:rsid w:val="2BD355F5"/>
    <w:rsid w:val="2BE23739"/>
    <w:rsid w:val="2BF51A0F"/>
    <w:rsid w:val="2C3170D7"/>
    <w:rsid w:val="2C8D60A4"/>
    <w:rsid w:val="2E92252E"/>
    <w:rsid w:val="2F015C6E"/>
    <w:rsid w:val="2F01691D"/>
    <w:rsid w:val="2F963509"/>
    <w:rsid w:val="305B02AF"/>
    <w:rsid w:val="30C9346B"/>
    <w:rsid w:val="31091AB9"/>
    <w:rsid w:val="31F42769"/>
    <w:rsid w:val="32DC6EF6"/>
    <w:rsid w:val="333D5A4A"/>
    <w:rsid w:val="33802506"/>
    <w:rsid w:val="339733AC"/>
    <w:rsid w:val="34DF500B"/>
    <w:rsid w:val="353C6584"/>
    <w:rsid w:val="35F920FC"/>
    <w:rsid w:val="360F36CE"/>
    <w:rsid w:val="362D624A"/>
    <w:rsid w:val="36590DED"/>
    <w:rsid w:val="36E20DE2"/>
    <w:rsid w:val="37092813"/>
    <w:rsid w:val="38415FDC"/>
    <w:rsid w:val="38A345A1"/>
    <w:rsid w:val="39D37108"/>
    <w:rsid w:val="3A0472C2"/>
    <w:rsid w:val="3A773F37"/>
    <w:rsid w:val="3B62331E"/>
    <w:rsid w:val="3C94492D"/>
    <w:rsid w:val="3CF655E7"/>
    <w:rsid w:val="3DD516A1"/>
    <w:rsid w:val="3DEF3806"/>
    <w:rsid w:val="3E6622F9"/>
    <w:rsid w:val="3E8D1F7B"/>
    <w:rsid w:val="3EEC6CA2"/>
    <w:rsid w:val="3F057D64"/>
    <w:rsid w:val="3F8073EA"/>
    <w:rsid w:val="40FE0F0E"/>
    <w:rsid w:val="42021EDE"/>
    <w:rsid w:val="42134546"/>
    <w:rsid w:val="421F113C"/>
    <w:rsid w:val="42254279"/>
    <w:rsid w:val="422B5D33"/>
    <w:rsid w:val="42537038"/>
    <w:rsid w:val="429F227D"/>
    <w:rsid w:val="42EA174A"/>
    <w:rsid w:val="43C04259"/>
    <w:rsid w:val="44F214EB"/>
    <w:rsid w:val="45684415"/>
    <w:rsid w:val="45D73ADC"/>
    <w:rsid w:val="45E71F71"/>
    <w:rsid w:val="46B81B60"/>
    <w:rsid w:val="47AA0C6D"/>
    <w:rsid w:val="47F366F7"/>
    <w:rsid w:val="48AA101E"/>
    <w:rsid w:val="49557B3A"/>
    <w:rsid w:val="4A282B58"/>
    <w:rsid w:val="4A6B22B2"/>
    <w:rsid w:val="4A8A3813"/>
    <w:rsid w:val="4ABB577A"/>
    <w:rsid w:val="4AC959D0"/>
    <w:rsid w:val="4B5E0F27"/>
    <w:rsid w:val="4BE13907"/>
    <w:rsid w:val="4BF20AB3"/>
    <w:rsid w:val="4C1C66ED"/>
    <w:rsid w:val="4C4579F1"/>
    <w:rsid w:val="4C8D3147"/>
    <w:rsid w:val="4EF851EF"/>
    <w:rsid w:val="4F2A189B"/>
    <w:rsid w:val="4F3E697A"/>
    <w:rsid w:val="4FFF25AD"/>
    <w:rsid w:val="521F0CE5"/>
    <w:rsid w:val="52291B63"/>
    <w:rsid w:val="528943B0"/>
    <w:rsid w:val="53EC109A"/>
    <w:rsid w:val="557D34DC"/>
    <w:rsid w:val="55BA31FE"/>
    <w:rsid w:val="567A72D5"/>
    <w:rsid w:val="571E3D72"/>
    <w:rsid w:val="57F329F7"/>
    <w:rsid w:val="59030A18"/>
    <w:rsid w:val="591F15CA"/>
    <w:rsid w:val="593B714F"/>
    <w:rsid w:val="597B0EF6"/>
    <w:rsid w:val="5AD84127"/>
    <w:rsid w:val="5AD92379"/>
    <w:rsid w:val="5B3550D5"/>
    <w:rsid w:val="5C05424F"/>
    <w:rsid w:val="5C3F2626"/>
    <w:rsid w:val="5CA442C0"/>
    <w:rsid w:val="5CEE5E83"/>
    <w:rsid w:val="5D3513BC"/>
    <w:rsid w:val="5D65398D"/>
    <w:rsid w:val="5DE54B90"/>
    <w:rsid w:val="5EF961CD"/>
    <w:rsid w:val="5F4B4EC7"/>
    <w:rsid w:val="5FD77BF1"/>
    <w:rsid w:val="60FF41BB"/>
    <w:rsid w:val="619C5EAE"/>
    <w:rsid w:val="62D6719E"/>
    <w:rsid w:val="631321A0"/>
    <w:rsid w:val="63253C81"/>
    <w:rsid w:val="637D2331"/>
    <w:rsid w:val="637F5A87"/>
    <w:rsid w:val="64281C7B"/>
    <w:rsid w:val="648C220A"/>
    <w:rsid w:val="64C80D68"/>
    <w:rsid w:val="65332685"/>
    <w:rsid w:val="65384140"/>
    <w:rsid w:val="654A5952"/>
    <w:rsid w:val="65F26CA4"/>
    <w:rsid w:val="660A5ADC"/>
    <w:rsid w:val="66644AC0"/>
    <w:rsid w:val="66AD6467"/>
    <w:rsid w:val="66E410C4"/>
    <w:rsid w:val="69DA7573"/>
    <w:rsid w:val="6A3D3FA6"/>
    <w:rsid w:val="6A4250A0"/>
    <w:rsid w:val="6A5C442C"/>
    <w:rsid w:val="6AB9187F"/>
    <w:rsid w:val="6AE34B4E"/>
    <w:rsid w:val="6B013699"/>
    <w:rsid w:val="6B3B2294"/>
    <w:rsid w:val="6BE91CF0"/>
    <w:rsid w:val="6C4E5FF7"/>
    <w:rsid w:val="6C8C6B1F"/>
    <w:rsid w:val="6DFFD528"/>
    <w:rsid w:val="6EC3758C"/>
    <w:rsid w:val="70910BA8"/>
    <w:rsid w:val="709A7A5C"/>
    <w:rsid w:val="70BA1EAD"/>
    <w:rsid w:val="71F36F0B"/>
    <w:rsid w:val="72FF004B"/>
    <w:rsid w:val="73117D7E"/>
    <w:rsid w:val="7363682B"/>
    <w:rsid w:val="7553467E"/>
    <w:rsid w:val="75ED37DD"/>
    <w:rsid w:val="7634625D"/>
    <w:rsid w:val="76FB6D7B"/>
    <w:rsid w:val="777D3C34"/>
    <w:rsid w:val="797D25FA"/>
    <w:rsid w:val="79915775"/>
    <w:rsid w:val="7B1228E5"/>
    <w:rsid w:val="7C507B69"/>
    <w:rsid w:val="7D7F6A8A"/>
    <w:rsid w:val="7D8B70AB"/>
    <w:rsid w:val="7E0155BF"/>
    <w:rsid w:val="7F985AAF"/>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6760</Words>
  <Characters>7566</Characters>
  <Lines>48</Lines>
  <Paragraphs>13</Paragraphs>
  <TotalTime>0</TotalTime>
  <ScaleCrop>false</ScaleCrop>
  <LinksUpToDate>false</LinksUpToDate>
  <CharactersWithSpaces>8252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2025-05-14T06:20:10Z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